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48F" w:rsidRPr="00831EBF" w:rsidRDefault="0005048F" w:rsidP="0005048F">
      <w:pPr>
        <w:spacing w:after="0" w:line="240" w:lineRule="auto"/>
        <w:ind w:left="900" w:right="600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КОМПЛЕКСНАЯ ОЦЕНКА РЕЗУЛЬТАТИВНОСТИ И ЭФФЕКТИВНОСТИ </w:t>
      </w:r>
      <w:r w:rsidR="008511E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МУНИЦИПАЛЬНЫХ</w:t>
      </w:r>
      <w:r w:rsidR="00654E5D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, ГОРОДСКИХ, ВЕДОМСТВЕННЫХ, АДРЕСНЫХ ЦЕЛЕВЫХ ПРОГРАММ</w:t>
      </w:r>
      <w:r w:rsidR="008511E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В 201</w:t>
      </w:r>
      <w:r w:rsidR="003705FC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6</w:t>
      </w: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 ГОДУ</w:t>
      </w:r>
    </w:p>
    <w:p w:rsidR="0005048F" w:rsidRPr="00831EBF" w:rsidRDefault="0005048F" w:rsidP="0005048F">
      <w:pPr>
        <w:spacing w:after="0" w:line="240" w:lineRule="auto"/>
        <w:ind w:left="900" w:right="600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05048F" w:rsidRPr="00831EBF" w:rsidRDefault="0005048F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 201</w:t>
      </w:r>
      <w:r w:rsidR="003705FC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</w:t>
      </w:r>
      <w:r w:rsidR="00CE0C1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производилась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 по разработке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реализации 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и оценке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муниципальных, 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городских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>, ведомственных, городских адресных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целевых программ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D5300" w:rsidRPr="00831EBF">
        <w:rPr>
          <w:rFonts w:ascii="Times New Roman" w:eastAsia="Times New Roman" w:hAnsi="Times New Roman"/>
          <w:sz w:val="24"/>
          <w:szCs w:val="24"/>
          <w:lang w:eastAsia="ru-RU"/>
        </w:rPr>
        <w:t>Осуществлялась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реализация программ, принятых как </w:t>
      </w:r>
      <w:r w:rsidR="003705FC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3705FC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году, так и ранее утвержденных. Все программы принимались Постановлениями Администрации г. Переславля-Залесского.</w:t>
      </w:r>
    </w:p>
    <w:p w:rsidR="009D5300" w:rsidRPr="00831EBF" w:rsidRDefault="009D5300" w:rsidP="00AE525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 течение 201</w:t>
      </w:r>
      <w:r w:rsidR="003705FC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вносились изменения в городские целевые, долгосрочные и ведомственные программы. Основными причинами внесения изменений были:</w:t>
      </w:r>
    </w:p>
    <w:p w:rsidR="009D5300" w:rsidRPr="00831EBF" w:rsidRDefault="009D5300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изменение объемов финансирования;</w:t>
      </w:r>
    </w:p>
    <w:p w:rsidR="009D5300" w:rsidRPr="00831EBF" w:rsidRDefault="009D5300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корректировка мероприятий или механизма реализации программы;</w:t>
      </w:r>
    </w:p>
    <w:p w:rsidR="009D5300" w:rsidRPr="00831EBF" w:rsidRDefault="009D5300" w:rsidP="009D5300">
      <w:pPr>
        <w:spacing w:after="0" w:line="240" w:lineRule="auto"/>
        <w:ind w:left="900" w:right="600" w:hanging="19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изменение требований к программам.</w:t>
      </w:r>
    </w:p>
    <w:p w:rsidR="009D5300" w:rsidRPr="00BD19AC" w:rsidRDefault="009D5300" w:rsidP="0005048F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bookmarkStart w:id="0" w:name="_GoBack"/>
      <w:bookmarkEnd w:id="0"/>
    </w:p>
    <w:p w:rsidR="004C22CB" w:rsidRDefault="00CE0C16" w:rsidP="0004003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173980" cy="3432810"/>
            <wp:effectExtent l="0" t="0" r="7620" b="1524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D5217" w:rsidRDefault="00831EBF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года осуществлялась реализация </w:t>
      </w:r>
      <w:r w:rsidR="003D5217">
        <w:rPr>
          <w:rFonts w:ascii="Times New Roman" w:eastAsia="Times New Roman" w:hAnsi="Times New Roman"/>
          <w:sz w:val="24"/>
          <w:szCs w:val="24"/>
          <w:lang w:eastAsia="ru-RU"/>
        </w:rPr>
        <w:t>12 муниципальных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3D5217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3D5217" w:rsidRDefault="003D5217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965691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числе:</w:t>
      </w:r>
    </w:p>
    <w:p w:rsidR="003D5217" w:rsidRDefault="003D5217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96569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705FC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965691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</w:t>
      </w:r>
      <w:r w:rsidR="00E02158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96569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программ;</w:t>
      </w:r>
    </w:p>
    <w:p w:rsidR="00965691" w:rsidRDefault="00965691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705F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42779">
        <w:rPr>
          <w:rFonts w:ascii="Times New Roman" w:eastAsia="Times New Roman" w:hAnsi="Times New Roman"/>
          <w:sz w:val="24"/>
          <w:szCs w:val="24"/>
          <w:lang w:eastAsia="ru-RU"/>
        </w:rPr>
        <w:t xml:space="preserve"> ведомственные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программы;</w:t>
      </w:r>
    </w:p>
    <w:p w:rsidR="00965691" w:rsidRDefault="00965691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0215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42779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городская адресная программа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1EBF" w:rsidRDefault="00965691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>лановы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объем финансирования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всех программ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из городского бюджета </w:t>
      </w:r>
      <w:r w:rsidR="003055A4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 </w:t>
      </w:r>
      <w:r w:rsidR="00942779">
        <w:rPr>
          <w:rFonts w:ascii="Times New Roman" w:eastAsia="Times New Roman" w:hAnsi="Times New Roman"/>
          <w:sz w:val="24"/>
          <w:szCs w:val="24"/>
          <w:lang w:eastAsia="ru-RU"/>
        </w:rPr>
        <w:t>1 152 538,8</w:t>
      </w:r>
      <w:r w:rsidR="003055A4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рублей, фа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>ктический объем финансирования</w:t>
      </w:r>
      <w:r w:rsidR="003055A4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942779">
        <w:rPr>
          <w:rFonts w:ascii="Times New Roman" w:eastAsia="Times New Roman" w:hAnsi="Times New Roman"/>
          <w:sz w:val="24"/>
          <w:szCs w:val="24"/>
          <w:lang w:eastAsia="ru-RU"/>
        </w:rPr>
        <w:t>1 033 902,3</w:t>
      </w:r>
      <w:r w:rsidR="001B4E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тыс. рублей или </w:t>
      </w:r>
      <w:r w:rsidR="00942779">
        <w:rPr>
          <w:rFonts w:ascii="Times New Roman" w:eastAsia="Times New Roman" w:hAnsi="Times New Roman"/>
          <w:sz w:val="24"/>
          <w:szCs w:val="24"/>
          <w:lang w:eastAsia="ru-RU"/>
        </w:rPr>
        <w:t>89,7</w:t>
      </w:r>
      <w:r w:rsidR="003055A4">
        <w:rPr>
          <w:rFonts w:ascii="Times New Roman" w:eastAsia="Times New Roman" w:hAnsi="Times New Roman"/>
          <w:sz w:val="24"/>
          <w:szCs w:val="24"/>
          <w:lang w:eastAsia="ru-RU"/>
        </w:rPr>
        <w:t xml:space="preserve">% от </w:t>
      </w:r>
      <w:r w:rsidR="00831EBF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плана. </w:t>
      </w:r>
      <w:r w:rsidR="00F22390">
        <w:rPr>
          <w:rFonts w:ascii="Times New Roman" w:eastAsia="Times New Roman" w:hAnsi="Times New Roman"/>
          <w:sz w:val="24"/>
          <w:szCs w:val="24"/>
          <w:lang w:eastAsia="ru-RU"/>
        </w:rPr>
        <w:t xml:space="preserve">Большую часть </w:t>
      </w:r>
      <w:r w:rsid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программных расходов городского </w:t>
      </w:r>
      <w:r w:rsidR="00BA209F" w:rsidRPr="005A1C9C">
        <w:rPr>
          <w:rFonts w:ascii="Times New Roman" w:eastAsia="Times New Roman" w:hAnsi="Times New Roman"/>
          <w:sz w:val="24"/>
          <w:szCs w:val="24"/>
          <w:lang w:eastAsia="ru-RU"/>
        </w:rPr>
        <w:t>бюджета (</w:t>
      </w:r>
      <w:r w:rsidR="00942779">
        <w:rPr>
          <w:rFonts w:ascii="Times New Roman" w:eastAsia="Times New Roman" w:hAnsi="Times New Roman"/>
          <w:sz w:val="24"/>
          <w:szCs w:val="24"/>
          <w:lang w:eastAsia="ru-RU"/>
        </w:rPr>
        <w:t>51,9</w:t>
      </w:r>
      <w:r w:rsidR="00BA209F" w:rsidRPr="005A1C9C">
        <w:rPr>
          <w:rFonts w:ascii="Times New Roman" w:eastAsia="Times New Roman" w:hAnsi="Times New Roman"/>
          <w:sz w:val="24"/>
          <w:szCs w:val="24"/>
          <w:lang w:eastAsia="ru-RU"/>
        </w:rPr>
        <w:t>%)</w:t>
      </w:r>
      <w:r w:rsid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составила </w:t>
      </w:r>
      <w:r w:rsidR="0084206E">
        <w:rPr>
          <w:rFonts w:ascii="Times New Roman" w:eastAsia="Times New Roman" w:hAnsi="Times New Roman"/>
          <w:sz w:val="24"/>
          <w:szCs w:val="24"/>
          <w:lang w:eastAsia="ru-RU"/>
        </w:rPr>
        <w:t>муниципальная п</w:t>
      </w:r>
      <w:r w:rsidR="00831EBF" w:rsidRPr="00BA209F">
        <w:rPr>
          <w:rFonts w:ascii="Times New Roman" w:eastAsia="Times New Roman" w:hAnsi="Times New Roman"/>
          <w:sz w:val="24"/>
          <w:szCs w:val="24"/>
          <w:lang w:eastAsia="ru-RU"/>
        </w:rPr>
        <w:t>рограмм</w:t>
      </w:r>
      <w:r w:rsidR="00AE211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31EBF" w:rsidRP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4206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4206E" w:rsidRPr="0084206E">
        <w:rPr>
          <w:rFonts w:ascii="Times New Roman" w:eastAsia="Times New Roman" w:hAnsi="Times New Roman"/>
          <w:sz w:val="24"/>
          <w:szCs w:val="24"/>
          <w:lang w:eastAsia="ru-RU"/>
        </w:rPr>
        <w:t>Развитие образования и молодежная политика г. Переславля-Залесского</w:t>
      </w:r>
      <w:r w:rsidR="0084206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E211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A209F" w:rsidRPr="00BA20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31EBF" w:rsidRPr="00844F75">
        <w:rPr>
          <w:rFonts w:ascii="Times New Roman" w:eastAsia="Times New Roman" w:hAnsi="Times New Roman"/>
          <w:sz w:val="24"/>
          <w:szCs w:val="24"/>
          <w:lang w:eastAsia="ru-RU"/>
        </w:rPr>
        <w:t xml:space="preserve">В истекшем году доля бюджетных расходов предусмотренных на реализацию целевых программ составила </w:t>
      </w:r>
      <w:r w:rsidR="005E724A" w:rsidRPr="00844F75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844F75" w:rsidRPr="00844F7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5E724A" w:rsidRPr="00844F7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94277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831EBF" w:rsidRPr="00844F75">
        <w:rPr>
          <w:rFonts w:ascii="Times New Roman" w:eastAsia="Times New Roman" w:hAnsi="Times New Roman"/>
          <w:sz w:val="24"/>
          <w:szCs w:val="24"/>
          <w:lang w:eastAsia="ru-RU"/>
        </w:rPr>
        <w:t xml:space="preserve">%. Увеличение в сравнении с прошлым годом на </w:t>
      </w:r>
      <w:r w:rsidR="00942779">
        <w:rPr>
          <w:rFonts w:ascii="Times New Roman" w:eastAsia="Times New Roman" w:hAnsi="Times New Roman"/>
          <w:sz w:val="24"/>
          <w:szCs w:val="24"/>
          <w:lang w:eastAsia="ru-RU"/>
        </w:rPr>
        <w:t>0,7</w:t>
      </w:r>
      <w:r w:rsidR="00C07941" w:rsidRPr="00844F7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процентных пункта.</w:t>
      </w:r>
    </w:p>
    <w:p w:rsidR="00F92850" w:rsidRDefault="00F92850" w:rsidP="00831EBF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7941" w:rsidRPr="00C07941" w:rsidRDefault="00CE0C16" w:rsidP="00CE0C16">
      <w:pPr>
        <w:spacing w:after="0" w:line="240" w:lineRule="auto"/>
        <w:ind w:right="600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219700" cy="3459480"/>
            <wp:effectExtent l="0" t="0" r="0" b="762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B3162" w:rsidRDefault="009B3162" w:rsidP="00C079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07941" w:rsidRPr="00C07941" w:rsidRDefault="00C07941" w:rsidP="00C079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7941">
        <w:rPr>
          <w:rFonts w:ascii="Times New Roman" w:hAnsi="Times New Roman"/>
          <w:sz w:val="24"/>
          <w:szCs w:val="24"/>
        </w:rPr>
        <w:t xml:space="preserve">В разрезе уровней бюджета программные мероприятия выглядят следующим образом: 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 xml:space="preserve">- Федеральный бюджет – </w:t>
      </w:r>
      <w:r w:rsidR="009B3162">
        <w:rPr>
          <w:rFonts w:ascii="Times New Roman" w:hAnsi="Times New Roman"/>
          <w:b/>
          <w:i/>
          <w:sz w:val="24"/>
          <w:szCs w:val="24"/>
        </w:rPr>
        <w:t>48,0</w:t>
      </w:r>
      <w:r w:rsidRPr="00C07941">
        <w:rPr>
          <w:rFonts w:ascii="Times New Roman" w:hAnsi="Times New Roman"/>
          <w:b/>
          <w:i/>
          <w:sz w:val="24"/>
          <w:szCs w:val="24"/>
        </w:rPr>
        <w:t xml:space="preserve"> млн. руб. или </w:t>
      </w:r>
      <w:r w:rsidR="009B3162">
        <w:rPr>
          <w:rFonts w:ascii="Times New Roman" w:hAnsi="Times New Roman"/>
          <w:b/>
          <w:i/>
          <w:sz w:val="24"/>
          <w:szCs w:val="24"/>
        </w:rPr>
        <w:t>5</w:t>
      </w:r>
      <w:r w:rsidRPr="00C07941">
        <w:rPr>
          <w:rFonts w:ascii="Times New Roman" w:hAnsi="Times New Roman"/>
          <w:b/>
          <w:i/>
          <w:sz w:val="24"/>
          <w:szCs w:val="24"/>
        </w:rPr>
        <w:t>%;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 xml:space="preserve">- Областной бюджет – </w:t>
      </w:r>
      <w:r w:rsidR="009B3162">
        <w:rPr>
          <w:rFonts w:ascii="Times New Roman" w:hAnsi="Times New Roman"/>
          <w:b/>
          <w:i/>
          <w:sz w:val="24"/>
          <w:szCs w:val="24"/>
        </w:rPr>
        <w:t>599,7</w:t>
      </w:r>
      <w:r w:rsidRPr="00C07941">
        <w:rPr>
          <w:rFonts w:ascii="Times New Roman" w:hAnsi="Times New Roman"/>
          <w:b/>
          <w:i/>
          <w:sz w:val="24"/>
          <w:szCs w:val="24"/>
        </w:rPr>
        <w:t xml:space="preserve"> млн. руб. или </w:t>
      </w:r>
      <w:r w:rsidR="00AC4290">
        <w:rPr>
          <w:rFonts w:ascii="Times New Roman" w:hAnsi="Times New Roman"/>
          <w:b/>
          <w:i/>
          <w:sz w:val="24"/>
          <w:szCs w:val="24"/>
        </w:rPr>
        <w:t>5</w:t>
      </w:r>
      <w:r w:rsidR="009B3162">
        <w:rPr>
          <w:rFonts w:ascii="Times New Roman" w:hAnsi="Times New Roman"/>
          <w:b/>
          <w:i/>
          <w:sz w:val="24"/>
          <w:szCs w:val="24"/>
        </w:rPr>
        <w:t>8</w:t>
      </w:r>
      <w:r w:rsidRPr="00C07941">
        <w:rPr>
          <w:rFonts w:ascii="Times New Roman" w:hAnsi="Times New Roman"/>
          <w:b/>
          <w:i/>
          <w:sz w:val="24"/>
          <w:szCs w:val="24"/>
        </w:rPr>
        <w:t>%;</w:t>
      </w:r>
    </w:p>
    <w:p w:rsidR="00C07941" w:rsidRPr="00C07941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07941">
        <w:rPr>
          <w:rFonts w:ascii="Times New Roman" w:hAnsi="Times New Roman"/>
          <w:b/>
          <w:i/>
          <w:sz w:val="24"/>
          <w:szCs w:val="24"/>
        </w:rPr>
        <w:t xml:space="preserve">- Городской бюджет – </w:t>
      </w:r>
      <w:r w:rsidR="009B3162">
        <w:rPr>
          <w:rFonts w:ascii="Times New Roman" w:hAnsi="Times New Roman"/>
          <w:b/>
          <w:i/>
          <w:sz w:val="24"/>
          <w:szCs w:val="24"/>
        </w:rPr>
        <w:t>386,3</w:t>
      </w:r>
      <w:r w:rsidRPr="00C07941">
        <w:rPr>
          <w:rFonts w:ascii="Times New Roman" w:hAnsi="Times New Roman"/>
          <w:b/>
          <w:i/>
          <w:sz w:val="24"/>
          <w:szCs w:val="24"/>
        </w:rPr>
        <w:t xml:space="preserve"> млн. руб. или </w:t>
      </w:r>
      <w:r w:rsidR="009B3162">
        <w:rPr>
          <w:rFonts w:ascii="Times New Roman" w:hAnsi="Times New Roman"/>
          <w:b/>
          <w:i/>
          <w:sz w:val="24"/>
          <w:szCs w:val="24"/>
        </w:rPr>
        <w:t>37</w:t>
      </w:r>
      <w:r w:rsidRPr="00C07941">
        <w:rPr>
          <w:rFonts w:ascii="Times New Roman" w:hAnsi="Times New Roman"/>
          <w:b/>
          <w:i/>
          <w:sz w:val="24"/>
          <w:szCs w:val="24"/>
        </w:rPr>
        <w:t>%;</w:t>
      </w:r>
    </w:p>
    <w:p w:rsidR="00060340" w:rsidRPr="00C07941" w:rsidRDefault="00060340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54EBE" w:rsidRDefault="00C07941" w:rsidP="00254E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941">
        <w:rPr>
          <w:rFonts w:ascii="Times New Roman" w:hAnsi="Times New Roman"/>
          <w:sz w:val="24"/>
          <w:szCs w:val="24"/>
        </w:rPr>
        <w:tab/>
      </w:r>
      <w:r w:rsidR="00254EBE" w:rsidRPr="00770968">
        <w:rPr>
          <w:rFonts w:ascii="Times New Roman" w:hAnsi="Times New Roman"/>
          <w:sz w:val="24"/>
          <w:szCs w:val="24"/>
        </w:rPr>
        <w:t>В рамках программ на</w:t>
      </w:r>
      <w:r w:rsidR="00770968" w:rsidRPr="00770968">
        <w:rPr>
          <w:rFonts w:ascii="Times New Roman" w:hAnsi="Times New Roman"/>
          <w:sz w:val="24"/>
          <w:szCs w:val="24"/>
        </w:rPr>
        <w:t xml:space="preserve"> инвестиции было израсходовано </w:t>
      </w:r>
      <w:r w:rsidR="00254EBE" w:rsidRPr="00770968">
        <w:rPr>
          <w:rFonts w:ascii="Times New Roman" w:hAnsi="Times New Roman"/>
          <w:sz w:val="24"/>
          <w:szCs w:val="24"/>
        </w:rPr>
        <w:t xml:space="preserve">8 </w:t>
      </w:r>
      <w:r w:rsidR="00770968" w:rsidRPr="00770968">
        <w:rPr>
          <w:rFonts w:ascii="Times New Roman" w:hAnsi="Times New Roman"/>
          <w:sz w:val="24"/>
          <w:szCs w:val="24"/>
        </w:rPr>
        <w:t>386</w:t>
      </w:r>
      <w:r w:rsidR="00254EBE" w:rsidRPr="00770968">
        <w:rPr>
          <w:rFonts w:ascii="Times New Roman" w:hAnsi="Times New Roman"/>
          <w:sz w:val="24"/>
          <w:szCs w:val="24"/>
        </w:rPr>
        <w:t>,6 тыс. руб., в том числе:</w:t>
      </w:r>
    </w:p>
    <w:p w:rsidR="00770968" w:rsidRDefault="00770968" w:rsidP="007709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0968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0968">
        <w:rPr>
          <w:rFonts w:ascii="Times New Roman" w:hAnsi="Times New Roman"/>
          <w:sz w:val="24"/>
          <w:szCs w:val="24"/>
        </w:rPr>
        <w:t>На ВЦП «Развитие культуры и искусства в г. Переславле-Залесском на 2014-2016 годы» - 543,15 тыс. руб. (ремонт МУ ДО Центр внешкольной работы «</w:t>
      </w:r>
      <w:proofErr w:type="spellStart"/>
      <w:r w:rsidRPr="00770968">
        <w:rPr>
          <w:rFonts w:ascii="Times New Roman" w:hAnsi="Times New Roman"/>
          <w:sz w:val="24"/>
          <w:szCs w:val="24"/>
        </w:rPr>
        <w:t>Ювента</w:t>
      </w:r>
      <w:proofErr w:type="spellEnd"/>
      <w:r w:rsidRPr="00770968">
        <w:rPr>
          <w:rFonts w:ascii="Times New Roman" w:hAnsi="Times New Roman"/>
          <w:sz w:val="24"/>
          <w:szCs w:val="24"/>
        </w:rPr>
        <w:t>»)</w:t>
      </w:r>
      <w:r>
        <w:rPr>
          <w:rFonts w:ascii="Times New Roman" w:hAnsi="Times New Roman"/>
          <w:sz w:val="24"/>
          <w:szCs w:val="24"/>
        </w:rPr>
        <w:t>.</w:t>
      </w:r>
    </w:p>
    <w:p w:rsidR="00770968" w:rsidRPr="00770968" w:rsidRDefault="00770968" w:rsidP="007709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На ГЦП «Комплексная программа модернизации и реформирования жилищно-коммунального хозяйства города Переславля-Залесского» на 2011-2016 годы – 7 843,48 тыс. руб. (</w:t>
      </w:r>
      <w:r w:rsidR="00790ED4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790ED4">
        <w:rPr>
          <w:rFonts w:ascii="Times New Roman" w:hAnsi="Times New Roman"/>
          <w:sz w:val="24"/>
          <w:szCs w:val="24"/>
        </w:rPr>
        <w:t>т.ч</w:t>
      </w:r>
      <w:proofErr w:type="spellEnd"/>
      <w:r w:rsidR="00790ED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кредиторская задолженность на реконструкцию объектов водоснабжения и водоотведения – 1 131,51 тыс. руб.; ПСД и экспертиза ПСД по водопроводу и канализации ул. Свободы и ул. </w:t>
      </w:r>
      <w:proofErr w:type="spellStart"/>
      <w:r>
        <w:rPr>
          <w:rFonts w:ascii="Times New Roman" w:hAnsi="Times New Roman"/>
          <w:sz w:val="24"/>
          <w:szCs w:val="24"/>
        </w:rPr>
        <w:t>Берендеевская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– 36 тыс. руб.; водоснабжение и канализация ул. Московская – 869,48 тыс. руб.; наружные сети канализации северо-западной части города – 114,31 тыс. руб.; </w:t>
      </w:r>
      <w:r w:rsidR="00790ED4">
        <w:rPr>
          <w:rFonts w:ascii="Times New Roman" w:hAnsi="Times New Roman"/>
          <w:sz w:val="24"/>
          <w:szCs w:val="24"/>
        </w:rPr>
        <w:t xml:space="preserve">строительство </w:t>
      </w:r>
      <w:proofErr w:type="spellStart"/>
      <w:r w:rsidR="00790ED4">
        <w:rPr>
          <w:rFonts w:ascii="Times New Roman" w:hAnsi="Times New Roman"/>
          <w:sz w:val="24"/>
          <w:szCs w:val="24"/>
        </w:rPr>
        <w:t>НСВиК</w:t>
      </w:r>
      <w:proofErr w:type="spellEnd"/>
      <w:r w:rsidR="00790ED4">
        <w:rPr>
          <w:rFonts w:ascii="Times New Roman" w:hAnsi="Times New Roman"/>
          <w:sz w:val="24"/>
          <w:szCs w:val="24"/>
        </w:rPr>
        <w:t xml:space="preserve"> ул. Свободы и ул. </w:t>
      </w:r>
      <w:proofErr w:type="spellStart"/>
      <w:r w:rsidR="00790ED4">
        <w:rPr>
          <w:rFonts w:ascii="Times New Roman" w:hAnsi="Times New Roman"/>
          <w:sz w:val="24"/>
          <w:szCs w:val="24"/>
        </w:rPr>
        <w:t>Берендеевская</w:t>
      </w:r>
      <w:proofErr w:type="spellEnd"/>
      <w:r w:rsidR="00790ED4">
        <w:rPr>
          <w:rFonts w:ascii="Times New Roman" w:hAnsi="Times New Roman"/>
          <w:sz w:val="24"/>
          <w:szCs w:val="24"/>
        </w:rPr>
        <w:t xml:space="preserve"> – 347,9 тыс. руб.; газоснабжение ул. Московская – 6,4 тыс. руб.; газопровод ул. Московская – 661,15 тыс. руб.; газификация ул. Московская – 19,7 тыс. руб.)</w:t>
      </w:r>
    </w:p>
    <w:p w:rsidR="0004003D" w:rsidRPr="00945429" w:rsidRDefault="00CE0C16" w:rsidP="009454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257800" cy="3691890"/>
            <wp:effectExtent l="0" t="0" r="0" b="381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B1D6C" w:rsidRDefault="003B1D6C" w:rsidP="00411BE5">
      <w:pPr>
        <w:spacing w:after="0" w:line="240" w:lineRule="auto"/>
        <w:ind w:right="-1" w:firstLine="993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8440F7" w:rsidRPr="003B1D6C" w:rsidRDefault="00E32D19" w:rsidP="003B1D6C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Наибольший удельный вес в расходах городского бюджета на финансирование программ приходится на сферы:  </w:t>
      </w:r>
    </w:p>
    <w:p w:rsidR="00E32D19" w:rsidRPr="003B1D6C" w:rsidRDefault="00E32D19" w:rsidP="003B1D6C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образование и молодежная политика</w:t>
      </w:r>
      <w:r w:rsidR="008440F7"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3B1D6C" w:rsidRPr="003B1D6C">
        <w:rPr>
          <w:rFonts w:ascii="Times New Roman" w:eastAsia="Times New Roman" w:hAnsi="Times New Roman"/>
          <w:sz w:val="24"/>
          <w:szCs w:val="24"/>
          <w:lang w:eastAsia="ru-RU"/>
        </w:rPr>
        <w:t>55</w:t>
      </w:r>
      <w:r w:rsidR="008440F7" w:rsidRPr="003B1D6C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7E1FB7" w:rsidRPr="003B1D6C" w:rsidRDefault="005311B7" w:rsidP="003B1D6C">
      <w:pPr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7E1FB7" w:rsidRPr="003B1D6C">
        <w:rPr>
          <w:rFonts w:ascii="Times New Roman" w:eastAsia="Times New Roman" w:hAnsi="Times New Roman"/>
          <w:sz w:val="24"/>
          <w:szCs w:val="24"/>
          <w:lang w:eastAsia="ru-RU"/>
        </w:rPr>
        <w:t>социальн</w:t>
      </w: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="007E1FB7"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политик</w:t>
      </w: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7E1FB7"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3B1D6C" w:rsidRPr="003B1D6C">
        <w:rPr>
          <w:rFonts w:ascii="Times New Roman" w:eastAsia="Times New Roman" w:hAnsi="Times New Roman"/>
          <w:sz w:val="24"/>
          <w:szCs w:val="24"/>
          <w:lang w:eastAsia="ru-RU"/>
        </w:rPr>
        <w:t>25</w:t>
      </w:r>
      <w:r w:rsidR="007E1FB7" w:rsidRPr="003B1D6C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B3775C" w:rsidRPr="003B1D6C" w:rsidRDefault="00B3775C" w:rsidP="003B1D6C">
      <w:pPr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о</w:t>
      </w:r>
      <w:r w:rsidR="003B1D6C" w:rsidRPr="003B1D6C">
        <w:rPr>
          <w:rFonts w:ascii="Times New Roman" w:eastAsia="Times New Roman" w:hAnsi="Times New Roman"/>
          <w:sz w:val="24"/>
          <w:szCs w:val="24"/>
          <w:lang w:eastAsia="ru-RU"/>
        </w:rPr>
        <w:t>бщегосударственные вопросы – 8</w:t>
      </w: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5311B7" w:rsidRPr="003B1D6C" w:rsidRDefault="005311B7" w:rsidP="003B1D6C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национальная</w:t>
      </w:r>
      <w:r w:rsidR="003B1D6C"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 экономика – 6</w:t>
      </w: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3B1D6C" w:rsidRPr="003B1D6C" w:rsidRDefault="003B1D6C" w:rsidP="003B1D6C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жилищно-коммунальное хозяйство – 2%</w:t>
      </w:r>
    </w:p>
    <w:p w:rsidR="005311B7" w:rsidRPr="003B1D6C" w:rsidRDefault="005311B7" w:rsidP="003B1D6C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спорт </w:t>
      </w:r>
      <w:r w:rsidR="003B1D6C" w:rsidRPr="003B1D6C">
        <w:rPr>
          <w:rFonts w:ascii="Times New Roman" w:eastAsia="Times New Roman" w:hAnsi="Times New Roman"/>
          <w:sz w:val="24"/>
          <w:szCs w:val="24"/>
          <w:lang w:eastAsia="ru-RU"/>
        </w:rPr>
        <w:t>– 2</w:t>
      </w:r>
      <w:r w:rsidR="00B3775C" w:rsidRPr="003B1D6C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311B7" w:rsidRPr="003B1D6C" w:rsidRDefault="005311B7" w:rsidP="003B1D6C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культура и кинематография – 2%.</w:t>
      </w:r>
    </w:p>
    <w:p w:rsidR="00E32D19" w:rsidRPr="003B1D6C" w:rsidRDefault="00E32D19" w:rsidP="00411BE5">
      <w:pPr>
        <w:spacing w:after="0" w:line="240" w:lineRule="auto"/>
        <w:ind w:left="900" w:right="60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E32D19" w:rsidRPr="009B3162" w:rsidRDefault="00E32D19" w:rsidP="00411BE5">
      <w:pPr>
        <w:spacing w:after="0" w:line="240" w:lineRule="auto"/>
        <w:ind w:right="600" w:firstLine="426"/>
        <w:jc w:val="center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3B1D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оценка результативности и эффективности программ</w:t>
      </w:r>
    </w:p>
    <w:p w:rsidR="00E32D19" w:rsidRPr="009B3162" w:rsidRDefault="00E32D19" w:rsidP="00411BE5">
      <w:pPr>
        <w:spacing w:after="0" w:line="240" w:lineRule="auto"/>
        <w:ind w:left="900" w:right="600" w:firstLine="426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E32D19" w:rsidRPr="002724B3" w:rsidRDefault="00E32D19" w:rsidP="002724B3">
      <w:pPr>
        <w:shd w:val="clear" w:color="auto" w:fill="FFFFFF" w:themeFill="background1"/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>Уровень выполнения плановых значений целевых индикаторов и показателей результативности городских целевых программ в 201</w:t>
      </w:r>
      <w:r w:rsidR="003B1D6C" w:rsidRPr="003B1D6C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3B1D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668B3">
        <w:rPr>
          <w:rFonts w:ascii="Times New Roman" w:eastAsia="Times New Roman" w:hAnsi="Times New Roman"/>
          <w:sz w:val="24"/>
          <w:szCs w:val="24"/>
          <w:lang w:eastAsia="ru-RU"/>
        </w:rPr>
        <w:t>году</w:t>
      </w:r>
      <w:r w:rsidR="00D668B3" w:rsidRPr="00D668B3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составил 114</w:t>
      </w:r>
      <w:r w:rsidRPr="00D668B3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="00586FD6" w:rsidRPr="00D668B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586FD6"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2724B3" w:rsidRPr="002724B3">
        <w:rPr>
          <w:rFonts w:ascii="Times New Roman" w:eastAsia="Times New Roman" w:hAnsi="Times New Roman"/>
          <w:sz w:val="24"/>
          <w:szCs w:val="24"/>
          <w:lang w:eastAsia="ru-RU"/>
        </w:rPr>
        <w:t>90</w:t>
      </w:r>
      <w:r w:rsidR="00586FD6"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из </w:t>
      </w:r>
      <w:r w:rsidR="002724B3" w:rsidRPr="002724B3">
        <w:rPr>
          <w:rFonts w:ascii="Times New Roman" w:eastAsia="Times New Roman" w:hAnsi="Times New Roman"/>
          <w:sz w:val="24"/>
          <w:szCs w:val="24"/>
          <w:lang w:eastAsia="ru-RU"/>
        </w:rPr>
        <w:t>128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целевых</w:t>
      </w:r>
      <w:r w:rsidR="00586FD6"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>индикаторов, по кото</w:t>
      </w:r>
      <w:r w:rsidR="00371B4F"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рым к моменту отчета 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ответственными исполнителями представлена информация, плановые значения </w:t>
      </w:r>
      <w:r w:rsidR="00586FD6" w:rsidRPr="002724B3">
        <w:rPr>
          <w:rFonts w:ascii="Times New Roman" w:eastAsia="Times New Roman" w:hAnsi="Times New Roman"/>
          <w:sz w:val="24"/>
          <w:szCs w:val="24"/>
          <w:lang w:eastAsia="ru-RU"/>
        </w:rPr>
        <w:t>достигнуты или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выполнены более чем на 100%</w:t>
      </w:r>
      <w:r w:rsid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ровно на 100%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2724B3" w:rsidRDefault="00E32D19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2724B3" w:rsidRPr="002724B3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586FD6"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</w:t>
      </w:r>
      <w:r w:rsidR="00EA1B36" w:rsidRPr="002724B3">
        <w:rPr>
          <w:rFonts w:ascii="Times New Roman" w:eastAsia="Times New Roman" w:hAnsi="Times New Roman"/>
          <w:sz w:val="24"/>
          <w:szCs w:val="24"/>
          <w:lang w:eastAsia="ru-RU"/>
        </w:rPr>
        <w:t>ям</w:t>
      </w:r>
      <w:r w:rsidR="00586FD6"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из </w:t>
      </w:r>
      <w:r w:rsidR="002724B3" w:rsidRPr="002724B3">
        <w:rPr>
          <w:rFonts w:ascii="Times New Roman" w:eastAsia="Times New Roman" w:hAnsi="Times New Roman"/>
          <w:sz w:val="24"/>
          <w:szCs w:val="24"/>
          <w:lang w:eastAsia="ru-RU"/>
        </w:rPr>
        <w:t>128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степень выполнения плана определить невозможно из-за отсутствия информации. В сравнении с 201</w:t>
      </w:r>
      <w:r w:rsidR="002724B3" w:rsidRPr="002724B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годом количество целевых индикаторов </w:t>
      </w:r>
      <w:r w:rsidR="00EA1B36" w:rsidRPr="002724B3">
        <w:rPr>
          <w:rFonts w:ascii="Times New Roman" w:eastAsia="Times New Roman" w:hAnsi="Times New Roman"/>
          <w:sz w:val="24"/>
          <w:szCs w:val="24"/>
          <w:lang w:eastAsia="ru-RU"/>
        </w:rPr>
        <w:t>увеличилось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2724B3" w:rsidRPr="002724B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, а количество не представленных </w:t>
      </w:r>
      <w:r w:rsidR="002724B3" w:rsidRPr="002724B3">
        <w:rPr>
          <w:rFonts w:ascii="Times New Roman" w:eastAsia="Times New Roman" w:hAnsi="Times New Roman"/>
          <w:sz w:val="24"/>
          <w:szCs w:val="24"/>
          <w:lang w:eastAsia="ru-RU"/>
        </w:rPr>
        <w:t>уменьшилось с 9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A1B36" w:rsidRPr="002724B3">
        <w:rPr>
          <w:rFonts w:ascii="Times New Roman" w:eastAsia="Times New Roman" w:hAnsi="Times New Roman"/>
          <w:sz w:val="24"/>
          <w:szCs w:val="24"/>
          <w:lang w:eastAsia="ru-RU"/>
        </w:rPr>
        <w:t>до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724B3" w:rsidRPr="002724B3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2724B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D17AB0" w:rsidRDefault="00E32D19" w:rsidP="00411BE5">
      <w:pPr>
        <w:spacing w:after="0" w:line="240" w:lineRule="auto"/>
        <w:ind w:right="-1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20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Оценка эффективности ведомственных и долгосрочных целевых программ, проведённая в соответствии с Постановлением Мэ</w:t>
      </w:r>
      <w:r w:rsidR="00C62025" w:rsidRPr="00C620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 г. Переславля-Залесского от 1</w:t>
      </w:r>
      <w:r w:rsidRPr="00C620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="00C62025" w:rsidRPr="00C620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08.2006 года №1002</w:t>
      </w:r>
      <w:r w:rsidRPr="00C620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«Об утверждении порядка разработки, принятия и реализации целевых программ», представлена в приложении </w:t>
      </w:r>
      <w:r w:rsidR="002B35D6" w:rsidRPr="00C620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«Рейтинг целевых программ по итоговой сводной оценке баллов за 201</w:t>
      </w:r>
      <w:r w:rsidR="00C62025" w:rsidRPr="00C620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2B35D6" w:rsidRPr="00C620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год»</w:t>
      </w:r>
      <w:r w:rsidRPr="00C620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32D19" w:rsidRDefault="00E32D19" w:rsidP="00E32D19"/>
    <w:sectPr w:rsidR="00E32D19" w:rsidSect="00145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1317F"/>
    <w:multiLevelType w:val="hybridMultilevel"/>
    <w:tmpl w:val="0316E0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48F"/>
    <w:rsid w:val="00000282"/>
    <w:rsid w:val="00002513"/>
    <w:rsid w:val="00004141"/>
    <w:rsid w:val="00017E89"/>
    <w:rsid w:val="000306C0"/>
    <w:rsid w:val="0003725B"/>
    <w:rsid w:val="0004003D"/>
    <w:rsid w:val="0004675A"/>
    <w:rsid w:val="000470C4"/>
    <w:rsid w:val="0005048F"/>
    <w:rsid w:val="00054144"/>
    <w:rsid w:val="00060340"/>
    <w:rsid w:val="0006793E"/>
    <w:rsid w:val="000712A2"/>
    <w:rsid w:val="00083810"/>
    <w:rsid w:val="000A1C5B"/>
    <w:rsid w:val="000A31B2"/>
    <w:rsid w:val="000A63DB"/>
    <w:rsid w:val="000A72F3"/>
    <w:rsid w:val="000B6366"/>
    <w:rsid w:val="000C272F"/>
    <w:rsid w:val="000C7C71"/>
    <w:rsid w:val="000D0C0E"/>
    <w:rsid w:val="000D60E7"/>
    <w:rsid w:val="000E5FBA"/>
    <w:rsid w:val="000F5555"/>
    <w:rsid w:val="001048F4"/>
    <w:rsid w:val="00111032"/>
    <w:rsid w:val="00114F28"/>
    <w:rsid w:val="00115541"/>
    <w:rsid w:val="00121E9D"/>
    <w:rsid w:val="00125172"/>
    <w:rsid w:val="00130BCC"/>
    <w:rsid w:val="00137665"/>
    <w:rsid w:val="00141301"/>
    <w:rsid w:val="00143728"/>
    <w:rsid w:val="00145DF7"/>
    <w:rsid w:val="00147559"/>
    <w:rsid w:val="001506B1"/>
    <w:rsid w:val="00152517"/>
    <w:rsid w:val="00153273"/>
    <w:rsid w:val="00163CB1"/>
    <w:rsid w:val="001667E5"/>
    <w:rsid w:val="00166A37"/>
    <w:rsid w:val="00167C42"/>
    <w:rsid w:val="00172C20"/>
    <w:rsid w:val="00183FCE"/>
    <w:rsid w:val="00185F08"/>
    <w:rsid w:val="001920D5"/>
    <w:rsid w:val="00192B04"/>
    <w:rsid w:val="0019374B"/>
    <w:rsid w:val="00194705"/>
    <w:rsid w:val="001B24E0"/>
    <w:rsid w:val="001B26BC"/>
    <w:rsid w:val="001B4EC7"/>
    <w:rsid w:val="001B6054"/>
    <w:rsid w:val="001C1B05"/>
    <w:rsid w:val="001C3A6F"/>
    <w:rsid w:val="001C3BDE"/>
    <w:rsid w:val="001D0020"/>
    <w:rsid w:val="001E093A"/>
    <w:rsid w:val="001E12AF"/>
    <w:rsid w:val="001E6F62"/>
    <w:rsid w:val="001E70E9"/>
    <w:rsid w:val="001F757B"/>
    <w:rsid w:val="0020416B"/>
    <w:rsid w:val="002166B6"/>
    <w:rsid w:val="0021745F"/>
    <w:rsid w:val="00217A98"/>
    <w:rsid w:val="00217D6A"/>
    <w:rsid w:val="002202A2"/>
    <w:rsid w:val="002274C3"/>
    <w:rsid w:val="002378AF"/>
    <w:rsid w:val="00247CD8"/>
    <w:rsid w:val="00247F9B"/>
    <w:rsid w:val="0025084D"/>
    <w:rsid w:val="00251B7D"/>
    <w:rsid w:val="00254EBE"/>
    <w:rsid w:val="00264095"/>
    <w:rsid w:val="0026602A"/>
    <w:rsid w:val="00266734"/>
    <w:rsid w:val="002724B3"/>
    <w:rsid w:val="002729F7"/>
    <w:rsid w:val="00286B90"/>
    <w:rsid w:val="00287A10"/>
    <w:rsid w:val="00290951"/>
    <w:rsid w:val="00292A7E"/>
    <w:rsid w:val="0029306F"/>
    <w:rsid w:val="002A1E6C"/>
    <w:rsid w:val="002B35D6"/>
    <w:rsid w:val="002B3CDA"/>
    <w:rsid w:val="002C1DDA"/>
    <w:rsid w:val="002C55BD"/>
    <w:rsid w:val="002E6724"/>
    <w:rsid w:val="002F4CFA"/>
    <w:rsid w:val="002F5FBC"/>
    <w:rsid w:val="00304B41"/>
    <w:rsid w:val="003055A4"/>
    <w:rsid w:val="0032030C"/>
    <w:rsid w:val="0032074A"/>
    <w:rsid w:val="00326823"/>
    <w:rsid w:val="0033090B"/>
    <w:rsid w:val="00331A8F"/>
    <w:rsid w:val="00331F84"/>
    <w:rsid w:val="003336F5"/>
    <w:rsid w:val="003537E8"/>
    <w:rsid w:val="003671C2"/>
    <w:rsid w:val="003705FC"/>
    <w:rsid w:val="00370E16"/>
    <w:rsid w:val="00371B4F"/>
    <w:rsid w:val="00373C82"/>
    <w:rsid w:val="00375232"/>
    <w:rsid w:val="0037662C"/>
    <w:rsid w:val="00390912"/>
    <w:rsid w:val="00392E4A"/>
    <w:rsid w:val="003954AD"/>
    <w:rsid w:val="003965EB"/>
    <w:rsid w:val="003A2150"/>
    <w:rsid w:val="003B0D80"/>
    <w:rsid w:val="003B1D6C"/>
    <w:rsid w:val="003B5A3E"/>
    <w:rsid w:val="003B6920"/>
    <w:rsid w:val="003C7CF5"/>
    <w:rsid w:val="003D1C21"/>
    <w:rsid w:val="003D5217"/>
    <w:rsid w:val="003D729B"/>
    <w:rsid w:val="0040286E"/>
    <w:rsid w:val="00406797"/>
    <w:rsid w:val="00411BE5"/>
    <w:rsid w:val="00414C08"/>
    <w:rsid w:val="00421911"/>
    <w:rsid w:val="00421D02"/>
    <w:rsid w:val="0042376D"/>
    <w:rsid w:val="00431FB2"/>
    <w:rsid w:val="0043288D"/>
    <w:rsid w:val="004330C9"/>
    <w:rsid w:val="00441493"/>
    <w:rsid w:val="00447E9F"/>
    <w:rsid w:val="00450E00"/>
    <w:rsid w:val="00451338"/>
    <w:rsid w:val="00463065"/>
    <w:rsid w:val="004639EB"/>
    <w:rsid w:val="0046507C"/>
    <w:rsid w:val="004667B0"/>
    <w:rsid w:val="00473DF2"/>
    <w:rsid w:val="00477062"/>
    <w:rsid w:val="00487428"/>
    <w:rsid w:val="004927E2"/>
    <w:rsid w:val="00493D82"/>
    <w:rsid w:val="00495334"/>
    <w:rsid w:val="004A1BC0"/>
    <w:rsid w:val="004A4324"/>
    <w:rsid w:val="004A5A22"/>
    <w:rsid w:val="004B260C"/>
    <w:rsid w:val="004C11D2"/>
    <w:rsid w:val="004C22CB"/>
    <w:rsid w:val="004C2C78"/>
    <w:rsid w:val="004D77F5"/>
    <w:rsid w:val="004E087F"/>
    <w:rsid w:val="004E2DBE"/>
    <w:rsid w:val="004E735C"/>
    <w:rsid w:val="004F1348"/>
    <w:rsid w:val="004F337F"/>
    <w:rsid w:val="00501229"/>
    <w:rsid w:val="00503592"/>
    <w:rsid w:val="00504806"/>
    <w:rsid w:val="00511B00"/>
    <w:rsid w:val="00513CC3"/>
    <w:rsid w:val="00516F18"/>
    <w:rsid w:val="00530D22"/>
    <w:rsid w:val="005311B7"/>
    <w:rsid w:val="00546E3F"/>
    <w:rsid w:val="005473C4"/>
    <w:rsid w:val="0055500A"/>
    <w:rsid w:val="0057026C"/>
    <w:rsid w:val="00583E03"/>
    <w:rsid w:val="00585321"/>
    <w:rsid w:val="00586FD6"/>
    <w:rsid w:val="00592084"/>
    <w:rsid w:val="005955D7"/>
    <w:rsid w:val="00597D4B"/>
    <w:rsid w:val="005A17D2"/>
    <w:rsid w:val="005A1C9C"/>
    <w:rsid w:val="005B504D"/>
    <w:rsid w:val="005C14FD"/>
    <w:rsid w:val="005C224C"/>
    <w:rsid w:val="005C65C0"/>
    <w:rsid w:val="005D02E1"/>
    <w:rsid w:val="005D1656"/>
    <w:rsid w:val="005E37F8"/>
    <w:rsid w:val="005E6594"/>
    <w:rsid w:val="005E724A"/>
    <w:rsid w:val="005F0B76"/>
    <w:rsid w:val="005F32E4"/>
    <w:rsid w:val="005F3AC9"/>
    <w:rsid w:val="0061366A"/>
    <w:rsid w:val="006172CE"/>
    <w:rsid w:val="00620FD9"/>
    <w:rsid w:val="006435F8"/>
    <w:rsid w:val="00645E33"/>
    <w:rsid w:val="00654E5D"/>
    <w:rsid w:val="00656BF0"/>
    <w:rsid w:val="00664496"/>
    <w:rsid w:val="00670E5B"/>
    <w:rsid w:val="00671ED5"/>
    <w:rsid w:val="006724A3"/>
    <w:rsid w:val="006865D9"/>
    <w:rsid w:val="00694FA3"/>
    <w:rsid w:val="0069672E"/>
    <w:rsid w:val="006A2364"/>
    <w:rsid w:val="006C1685"/>
    <w:rsid w:val="006E34D9"/>
    <w:rsid w:val="006E4B72"/>
    <w:rsid w:val="006E61AA"/>
    <w:rsid w:val="006E7AD1"/>
    <w:rsid w:val="006F0190"/>
    <w:rsid w:val="006F7C05"/>
    <w:rsid w:val="00700162"/>
    <w:rsid w:val="0070558E"/>
    <w:rsid w:val="00717E3F"/>
    <w:rsid w:val="0073624B"/>
    <w:rsid w:val="00750A63"/>
    <w:rsid w:val="00753D53"/>
    <w:rsid w:val="007569C3"/>
    <w:rsid w:val="007576B9"/>
    <w:rsid w:val="0076089A"/>
    <w:rsid w:val="00761F7E"/>
    <w:rsid w:val="00770765"/>
    <w:rsid w:val="00770968"/>
    <w:rsid w:val="00781BC4"/>
    <w:rsid w:val="007831C6"/>
    <w:rsid w:val="007876F2"/>
    <w:rsid w:val="00790ED4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E1FB7"/>
    <w:rsid w:val="007E7B0A"/>
    <w:rsid w:val="00800E77"/>
    <w:rsid w:val="00804E39"/>
    <w:rsid w:val="0080739F"/>
    <w:rsid w:val="0082395A"/>
    <w:rsid w:val="00826402"/>
    <w:rsid w:val="00831EBF"/>
    <w:rsid w:val="008417A8"/>
    <w:rsid w:val="0084206E"/>
    <w:rsid w:val="008440F7"/>
    <w:rsid w:val="00844F75"/>
    <w:rsid w:val="008511E3"/>
    <w:rsid w:val="00857B32"/>
    <w:rsid w:val="00857FDC"/>
    <w:rsid w:val="00860455"/>
    <w:rsid w:val="00863D14"/>
    <w:rsid w:val="008676DD"/>
    <w:rsid w:val="00873A24"/>
    <w:rsid w:val="0088113C"/>
    <w:rsid w:val="00884120"/>
    <w:rsid w:val="00884D33"/>
    <w:rsid w:val="00886480"/>
    <w:rsid w:val="00887960"/>
    <w:rsid w:val="008A3812"/>
    <w:rsid w:val="008B5BC5"/>
    <w:rsid w:val="008B5E1A"/>
    <w:rsid w:val="008B7F08"/>
    <w:rsid w:val="008C4081"/>
    <w:rsid w:val="008D2FAD"/>
    <w:rsid w:val="008F5307"/>
    <w:rsid w:val="008F62B6"/>
    <w:rsid w:val="009067B6"/>
    <w:rsid w:val="009072B3"/>
    <w:rsid w:val="0091160A"/>
    <w:rsid w:val="0091190E"/>
    <w:rsid w:val="00934A89"/>
    <w:rsid w:val="00942779"/>
    <w:rsid w:val="00945429"/>
    <w:rsid w:val="00954CCC"/>
    <w:rsid w:val="0096350F"/>
    <w:rsid w:val="009642C2"/>
    <w:rsid w:val="00965691"/>
    <w:rsid w:val="009764A4"/>
    <w:rsid w:val="00984C0C"/>
    <w:rsid w:val="00986576"/>
    <w:rsid w:val="0099043B"/>
    <w:rsid w:val="00990452"/>
    <w:rsid w:val="009944D2"/>
    <w:rsid w:val="00997E6B"/>
    <w:rsid w:val="009A47F7"/>
    <w:rsid w:val="009A7E07"/>
    <w:rsid w:val="009B2063"/>
    <w:rsid w:val="009B3162"/>
    <w:rsid w:val="009B6350"/>
    <w:rsid w:val="009D262A"/>
    <w:rsid w:val="009D3269"/>
    <w:rsid w:val="009D5300"/>
    <w:rsid w:val="009E3E11"/>
    <w:rsid w:val="009E566A"/>
    <w:rsid w:val="009E670C"/>
    <w:rsid w:val="009E6A60"/>
    <w:rsid w:val="009F6A6D"/>
    <w:rsid w:val="00A15529"/>
    <w:rsid w:val="00A27874"/>
    <w:rsid w:val="00A311DB"/>
    <w:rsid w:val="00A327C9"/>
    <w:rsid w:val="00A3712F"/>
    <w:rsid w:val="00A427EC"/>
    <w:rsid w:val="00A43122"/>
    <w:rsid w:val="00A45309"/>
    <w:rsid w:val="00A542E6"/>
    <w:rsid w:val="00A55888"/>
    <w:rsid w:val="00A57EE8"/>
    <w:rsid w:val="00A7313B"/>
    <w:rsid w:val="00A8017B"/>
    <w:rsid w:val="00A87898"/>
    <w:rsid w:val="00AA0B5A"/>
    <w:rsid w:val="00AB316F"/>
    <w:rsid w:val="00AC0AB0"/>
    <w:rsid w:val="00AC162A"/>
    <w:rsid w:val="00AC28DD"/>
    <w:rsid w:val="00AC4290"/>
    <w:rsid w:val="00AC57FA"/>
    <w:rsid w:val="00AC5C3F"/>
    <w:rsid w:val="00AE211F"/>
    <w:rsid w:val="00AE3218"/>
    <w:rsid w:val="00AE4EF8"/>
    <w:rsid w:val="00AE5259"/>
    <w:rsid w:val="00AF7DEE"/>
    <w:rsid w:val="00B06A2B"/>
    <w:rsid w:val="00B16992"/>
    <w:rsid w:val="00B3173F"/>
    <w:rsid w:val="00B32809"/>
    <w:rsid w:val="00B3775C"/>
    <w:rsid w:val="00B420BC"/>
    <w:rsid w:val="00B4438E"/>
    <w:rsid w:val="00B51075"/>
    <w:rsid w:val="00B538C5"/>
    <w:rsid w:val="00B740AF"/>
    <w:rsid w:val="00B8157F"/>
    <w:rsid w:val="00B847CC"/>
    <w:rsid w:val="00B93F1A"/>
    <w:rsid w:val="00BA209F"/>
    <w:rsid w:val="00BA2666"/>
    <w:rsid w:val="00BA560B"/>
    <w:rsid w:val="00BB3765"/>
    <w:rsid w:val="00BB41C3"/>
    <w:rsid w:val="00BC100D"/>
    <w:rsid w:val="00BC132F"/>
    <w:rsid w:val="00BC3C09"/>
    <w:rsid w:val="00BD2499"/>
    <w:rsid w:val="00BE0E01"/>
    <w:rsid w:val="00BE7BCF"/>
    <w:rsid w:val="00BF2B65"/>
    <w:rsid w:val="00BF34C3"/>
    <w:rsid w:val="00C07941"/>
    <w:rsid w:val="00C10B39"/>
    <w:rsid w:val="00C13F67"/>
    <w:rsid w:val="00C1510E"/>
    <w:rsid w:val="00C159BD"/>
    <w:rsid w:val="00C22AF3"/>
    <w:rsid w:val="00C24C47"/>
    <w:rsid w:val="00C60EBD"/>
    <w:rsid w:val="00C62025"/>
    <w:rsid w:val="00C71926"/>
    <w:rsid w:val="00C75E7D"/>
    <w:rsid w:val="00C8656B"/>
    <w:rsid w:val="00CA0B7B"/>
    <w:rsid w:val="00CB04D0"/>
    <w:rsid w:val="00CB297F"/>
    <w:rsid w:val="00CC1BDC"/>
    <w:rsid w:val="00CC2D0F"/>
    <w:rsid w:val="00CC5844"/>
    <w:rsid w:val="00CD2C69"/>
    <w:rsid w:val="00CD4D55"/>
    <w:rsid w:val="00CE0C16"/>
    <w:rsid w:val="00CE1060"/>
    <w:rsid w:val="00CE131B"/>
    <w:rsid w:val="00CE22B5"/>
    <w:rsid w:val="00CF398D"/>
    <w:rsid w:val="00D05F2E"/>
    <w:rsid w:val="00D17AB0"/>
    <w:rsid w:val="00D20E6D"/>
    <w:rsid w:val="00D22730"/>
    <w:rsid w:val="00D22C6B"/>
    <w:rsid w:val="00D278B9"/>
    <w:rsid w:val="00D27FFE"/>
    <w:rsid w:val="00D30EED"/>
    <w:rsid w:val="00D360F4"/>
    <w:rsid w:val="00D37B87"/>
    <w:rsid w:val="00D44696"/>
    <w:rsid w:val="00D45972"/>
    <w:rsid w:val="00D46BCE"/>
    <w:rsid w:val="00D509F5"/>
    <w:rsid w:val="00D668B3"/>
    <w:rsid w:val="00D67F0B"/>
    <w:rsid w:val="00D76FCF"/>
    <w:rsid w:val="00D816F4"/>
    <w:rsid w:val="00D81730"/>
    <w:rsid w:val="00D84647"/>
    <w:rsid w:val="00D85630"/>
    <w:rsid w:val="00D90908"/>
    <w:rsid w:val="00D97A8C"/>
    <w:rsid w:val="00DA6121"/>
    <w:rsid w:val="00DC238C"/>
    <w:rsid w:val="00DC6196"/>
    <w:rsid w:val="00DE4AAE"/>
    <w:rsid w:val="00DE5A13"/>
    <w:rsid w:val="00DE60D7"/>
    <w:rsid w:val="00DE704A"/>
    <w:rsid w:val="00DF78B5"/>
    <w:rsid w:val="00E02158"/>
    <w:rsid w:val="00E038D2"/>
    <w:rsid w:val="00E12E0D"/>
    <w:rsid w:val="00E144CA"/>
    <w:rsid w:val="00E1737A"/>
    <w:rsid w:val="00E27BED"/>
    <w:rsid w:val="00E32D19"/>
    <w:rsid w:val="00E33471"/>
    <w:rsid w:val="00E37641"/>
    <w:rsid w:val="00E532F0"/>
    <w:rsid w:val="00E54A89"/>
    <w:rsid w:val="00E60292"/>
    <w:rsid w:val="00E71F25"/>
    <w:rsid w:val="00E74405"/>
    <w:rsid w:val="00E75F2D"/>
    <w:rsid w:val="00E777B3"/>
    <w:rsid w:val="00E777CE"/>
    <w:rsid w:val="00E961AC"/>
    <w:rsid w:val="00EA02AC"/>
    <w:rsid w:val="00EA035E"/>
    <w:rsid w:val="00EA1B36"/>
    <w:rsid w:val="00EB33BB"/>
    <w:rsid w:val="00EB4FCE"/>
    <w:rsid w:val="00EC5373"/>
    <w:rsid w:val="00ED1A24"/>
    <w:rsid w:val="00EE1CFA"/>
    <w:rsid w:val="00EE3088"/>
    <w:rsid w:val="00EE31D2"/>
    <w:rsid w:val="00EF0EBD"/>
    <w:rsid w:val="00EF25E9"/>
    <w:rsid w:val="00EF3902"/>
    <w:rsid w:val="00EF51D9"/>
    <w:rsid w:val="00F00348"/>
    <w:rsid w:val="00F00A91"/>
    <w:rsid w:val="00F0794B"/>
    <w:rsid w:val="00F22390"/>
    <w:rsid w:val="00F25ACC"/>
    <w:rsid w:val="00F34145"/>
    <w:rsid w:val="00F43C84"/>
    <w:rsid w:val="00F524A2"/>
    <w:rsid w:val="00F54F5D"/>
    <w:rsid w:val="00F554D8"/>
    <w:rsid w:val="00F57645"/>
    <w:rsid w:val="00F57F8F"/>
    <w:rsid w:val="00F64E8F"/>
    <w:rsid w:val="00F71E4A"/>
    <w:rsid w:val="00F92850"/>
    <w:rsid w:val="00F92B5C"/>
    <w:rsid w:val="00F92BAC"/>
    <w:rsid w:val="00F94C4E"/>
    <w:rsid w:val="00F95DC4"/>
    <w:rsid w:val="00F96B66"/>
    <w:rsid w:val="00FA039D"/>
    <w:rsid w:val="00FD0AEA"/>
    <w:rsid w:val="00FE0D06"/>
    <w:rsid w:val="00FF115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A9F2BB-F8A5-46A6-A8F4-BBBA799FC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4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05048F"/>
    <w:pPr>
      <w:spacing w:after="160" w:line="240" w:lineRule="exact"/>
      <w:jc w:val="both"/>
    </w:pPr>
    <w:rPr>
      <w:rFonts w:ascii="Verdana" w:eastAsia="Times New Roman" w:hAnsi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040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03D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70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ru-RU" sz="11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1. Финансирование программ в 2015 и 2016 годах из городского бюджета, тыс. руб. </a:t>
            </a:r>
          </a:p>
        </c:rich>
      </c:tx>
      <c:layout>
        <c:manualLayout>
          <c:xMode val="edge"/>
          <c:yMode val="edge"/>
          <c:x val="0.13446909667194934"/>
          <c:y val="0.84720680725120234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20827158203162749"/>
          <c:y val="8.8309868591620377E-2"/>
          <c:w val="0.76267399564745153"/>
          <c:h val="0.6704830736335543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3399FF"/>
            </a:solidFill>
            <a:ln>
              <a:solidFill>
                <a:schemeClr val="tx1"/>
              </a:solidFill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3399FF"/>
              </a:solidFill>
              <a:ln>
                <a:solidFill>
                  <a:schemeClr val="tx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0"/>
                  <c:y val="-1.08511685761810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4545900834560628E-3"/>
                  <c:y val="4.6297348236575865E-3"/>
                </c:manualLayout>
              </c:layout>
              <c:tx>
                <c:rich>
                  <a:bodyPr/>
                  <a:lstStyle/>
                  <a:p>
                    <a:fld id="{1ABE5860-9C6E-47E5-8336-0EB03ED4FCA3}" type="VALUE">
                      <a:rPr lang="en-US" sz="850"/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solidFill>
                <a:schemeClr val="bg1"/>
              </a:solidFill>
              <a:ln>
                <a:solidFill>
                  <a:schemeClr val="bg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Лист1!$B$1:$C$1</c:f>
              <c:numCache>
                <c:formatCode>General</c:formatCode>
                <c:ptCount val="2"/>
                <c:pt idx="0">
                  <c:v>2015</c:v>
                </c:pt>
                <c:pt idx="1">
                  <c:v>2016</c:v>
                </c:pt>
              </c:numCache>
            </c:numRef>
          </c:cat>
          <c:val>
            <c:numRef>
              <c:f>Лист1!$B$2:$C$2</c:f>
              <c:numCache>
                <c:formatCode>_-* #,##0.0_р_._-;\-* #,##0.0_р_._-;_-* "-"?_р_._-;_-@_-</c:formatCode>
                <c:ptCount val="2"/>
                <c:pt idx="0" formatCode="#,##0.0">
                  <c:v>1144461.7</c:v>
                </c:pt>
                <c:pt idx="1">
                  <c:v>1152538.8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FFFF00"/>
            </a:solidFill>
            <a:ln>
              <a:solidFill>
                <a:schemeClr val="tx1"/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2.4545900834560628E-3"/>
                  <c:y val="-9.157221052140991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"/>
                  <c:y val="1.3895321908290875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161C56DC-F82F-4D37-B78D-612397510888}" type="VALUE">
                      <a:rPr lang="en-US" sz="850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solidFill>
                  <a:schemeClr val="bg1"/>
                </a:solidFill>
                <a:ln>
                  <a:solidFill>
                    <a:schemeClr val="bg1"/>
                  </a:solidFill>
                </a:ln>
                <a:effectLst/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  <c15:dlblFieldTable/>
                  <c15:showDataLabelsRange val="0"/>
                </c:ext>
              </c:extLst>
            </c:dLbl>
            <c:spPr>
              <a:solidFill>
                <a:schemeClr val="bg1"/>
              </a:solidFill>
              <a:ln>
                <a:solidFill>
                  <a:schemeClr val="bg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Лист1!$B$1:$C$1</c:f>
              <c:numCache>
                <c:formatCode>General</c:formatCode>
                <c:ptCount val="2"/>
                <c:pt idx="0">
                  <c:v>2015</c:v>
                </c:pt>
                <c:pt idx="1">
                  <c:v>2016</c:v>
                </c:pt>
              </c:numCache>
            </c:numRef>
          </c:cat>
          <c:val>
            <c:numRef>
              <c:f>Лист1!$B$3:$C$3</c:f>
              <c:numCache>
                <c:formatCode>_-* #,##0.0_р_._-;\-* #,##0.0_р_._-;_-* "-"?_р_._-;_-@_-</c:formatCode>
                <c:ptCount val="2"/>
                <c:pt idx="0" formatCode="#,##0.0">
                  <c:v>1033302.8</c:v>
                </c:pt>
                <c:pt idx="1">
                  <c:v>1033902.3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18"/>
        <c:axId val="330262024"/>
        <c:axId val="330262808"/>
      </c:barChart>
      <c:catAx>
        <c:axId val="3302620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30262808"/>
        <c:crosses val="autoZero"/>
        <c:auto val="1"/>
        <c:lblAlgn val="ctr"/>
        <c:lblOffset val="100"/>
        <c:noMultiLvlLbl val="0"/>
      </c:catAx>
      <c:valAx>
        <c:axId val="3302628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тыс.</a:t>
                </a:r>
                <a:r>
                  <a:rPr lang="ru-RU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руб</a:t>
                </a:r>
                <a:r>
                  <a:rPr lang="ru-RU" baseline="0"/>
                  <a:t>.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4.20341019065587E-2"/>
              <c:y val="0.34092099475356946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30262024"/>
        <c:crosses val="autoZero"/>
        <c:crossBetween val="between"/>
        <c:majorUnit val="200000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71448710663744353"/>
          <c:y val="2.0033441990672366E-2"/>
          <c:w val="0.18705425997008113"/>
          <c:h val="6.2760537285780502E-2"/>
        </c:manualLayout>
      </c:layout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2. Исполнение бюджета по действующим программам за 2016 год в разрезе источников бюджета (%) </a:t>
            </a:r>
          </a:p>
        </c:rich>
      </c:tx>
      <c:layout>
        <c:manualLayout>
          <c:xMode val="edge"/>
          <c:yMode val="edge"/>
          <c:x val="0.10728796095610005"/>
          <c:y val="0.85038106698756522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4200542005420072E-2"/>
          <c:y val="0.17050308138795428"/>
          <c:w val="0.82384823848238531"/>
          <c:h val="0.6198229213639046"/>
        </c:manualLayout>
      </c:layout>
      <c:pie3DChart>
        <c:varyColors val="1"/>
        <c:ser>
          <c:idx val="0"/>
          <c:order val="0"/>
          <c:spPr>
            <a:ln>
              <a:solidFill>
                <a:schemeClr val="tx1"/>
              </a:solidFill>
            </a:ln>
          </c:spPr>
          <c:dPt>
            <c:idx val="0"/>
            <c:bubble3D val="0"/>
            <c:spPr>
              <a:solidFill>
                <a:srgbClr val="3399FF"/>
              </a:solidFill>
              <a:ln>
                <a:solidFill>
                  <a:schemeClr val="tx1"/>
                </a:solidFill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00FF99"/>
              </a:solidFill>
              <a:ln>
                <a:solidFill>
                  <a:schemeClr val="tx1"/>
                </a:solidFill>
              </a:ln>
              <a:effectLst/>
              <a:sp3d/>
            </c:spPr>
          </c:dPt>
          <c:dPt>
            <c:idx val="2"/>
            <c:bubble3D val="0"/>
            <c:spPr>
              <a:solidFill>
                <a:srgbClr val="FFFF00"/>
              </a:solidFill>
              <a:ln>
                <a:solidFill>
                  <a:schemeClr val="tx1"/>
                </a:solidFill>
              </a:ln>
              <a:effectLst/>
              <a:sp3d>
                <a:contourClr>
                  <a:schemeClr val="tx1"/>
                </a:contourClr>
              </a:sp3d>
            </c:spPr>
          </c:dPt>
          <c:dPt>
            <c:idx val="3"/>
            <c:bubble3D val="0"/>
            <c:spPr>
              <a:solidFill>
                <a:srgbClr val="FF66CC"/>
              </a:solidFill>
              <a:ln>
                <a:solidFill>
                  <a:schemeClr val="tx1"/>
                </a:solidFill>
              </a:ln>
              <a:effectLst/>
              <a:sp3d/>
            </c:spPr>
          </c:dPt>
          <c:dLbls>
            <c:dLbl>
              <c:idx val="0"/>
              <c:layout>
                <c:manualLayout>
                  <c:x val="0.20924976531218259"/>
                  <c:y val="2.032285198931631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2D6098BF-254F-40AE-8F9F-93747C57A39A}" type="CATEGORYNAME">
                      <a:rPr lang="ru-RU" sz="1200" b="1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b="1" baseline="0"/>
                      <a:t>
</a:t>
                    </a:r>
                    <a:fld id="{F959BF99-81A9-43A7-8A01-52EB260240D4}" type="PERCENTAGE">
                      <a:rPr lang="ru-RU" sz="1200" b="1" baseline="0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[ПРОЦЕНТ]</a:t>
                    </a:fld>
                    <a:endParaRPr lang="ru-RU" b="1" baseline="0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14316914765215"/>
                      <c:h val="0.17266901384023028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0.20516456884495288"/>
                  <c:y val="-0.2035109322788396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C39C9104-6102-40D4-A231-D8A0DA5BD5B0}" type="CATEGORYNAME">
                      <a:rPr lang="ru-RU" sz="1400" b="1">
                        <a:solidFill>
                          <a:sysClr val="windowText" lastClr="000000"/>
                        </a:solidFill>
                      </a:rPr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sz="1400" b="1" baseline="0">
                        <a:solidFill>
                          <a:sysClr val="windowText" lastClr="000000"/>
                        </a:solidFill>
                      </a:rPr>
                      <a:t>
</a:t>
                    </a:r>
                    <a:fld id="{8DE24222-FB7F-4663-B8D8-971589C1F19D}" type="PERCENTAGE">
                      <a:rPr lang="ru-RU" sz="1400" b="1" baseline="0">
                        <a:solidFill>
                          <a:sysClr val="windowText" lastClr="000000"/>
                        </a:solidFill>
                      </a:rPr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[ПРОЦЕНТ]</a:t>
                    </a:fld>
                    <a:endParaRPr lang="ru-RU" sz="1400" b="1" baseline="0">
                      <a:solidFill>
                        <a:sysClr val="windowText" lastClr="000000"/>
                      </a:solidFill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4771289537712891"/>
                      <c:h val="0.14570484581497797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0.18248184761576339"/>
                  <c:y val="6.1359944269080868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00E4BBA5-0CF3-4439-8E16-F36E11274690}" type="CATEGORYNAME">
                      <a:rPr lang="ru-RU" sz="1200" b="1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sz="1200" baseline="0"/>
                      <a:t>
</a:t>
                    </a:r>
                    <a:fld id="{9144AFC4-636D-4846-B91B-DC8011F03228}" type="PERCENTAGE">
                      <a:rPr lang="ru-RU" sz="1200" b="1" baseline="0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[ПРОЦЕНТ]</a:t>
                    </a:fld>
                    <a:endParaRPr lang="ru-RU" sz="1200" baseline="0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7069352644788008"/>
                      <c:h val="0.15304698972099851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0.21411192214111921"/>
                  <c:y val="5.9123625515973534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1"/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Лист1!$B$26:$B$28</c:f>
              <c:strCache>
                <c:ptCount val="3"/>
                <c:pt idx="0">
                  <c:v>Федеральный бюджет</c:v>
                </c:pt>
                <c:pt idx="1">
                  <c:v>Областной бюджет</c:v>
                </c:pt>
                <c:pt idx="2">
                  <c:v>Городской бюджет</c:v>
                </c:pt>
              </c:strCache>
            </c:strRef>
          </c:cat>
          <c:val>
            <c:numRef>
              <c:f>Лист1!$C$26:$C$28</c:f>
              <c:numCache>
                <c:formatCode>#,##0.00</c:formatCode>
                <c:ptCount val="3"/>
                <c:pt idx="0">
                  <c:v>47990.887000000002</c:v>
                </c:pt>
                <c:pt idx="1">
                  <c:v>599659.46499999997</c:v>
                </c:pt>
                <c:pt idx="2">
                  <c:v>386251.99400000001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Рис. 3. Финансирование программ в 2016 году по основным направлениям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(% к общей сумме финансирования программной части)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5214861729240375"/>
          <c:y val="0.80151358789129645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71104357368173"/>
          <c:y val="0.1844792233788114"/>
          <c:w val="0.67194168663699694"/>
          <c:h val="0.58663150852273471"/>
        </c:manualLayout>
      </c:layout>
      <c:pie3DChart>
        <c:varyColors val="1"/>
        <c:ser>
          <c:idx val="0"/>
          <c:order val="0"/>
          <c:spPr>
            <a:ln>
              <a:noFill/>
            </a:ln>
          </c:spPr>
          <c:dPt>
            <c:idx val="0"/>
            <c:bubble3D val="0"/>
            <c:spPr>
              <a:solidFill>
                <a:srgbClr val="FFFF66"/>
              </a:solidFill>
              <a:ln w="25400">
                <a:noFill/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FF66CC"/>
              </a:solidFill>
              <a:ln w="25400">
                <a:noFill/>
              </a:ln>
              <a:effectLst/>
              <a:sp3d/>
            </c:spPr>
          </c:dPt>
          <c:dPt>
            <c:idx val="2"/>
            <c:bubble3D val="0"/>
            <c:spPr>
              <a:solidFill>
                <a:srgbClr val="33CCFF"/>
              </a:solidFill>
              <a:ln w="25400">
                <a:noFill/>
              </a:ln>
              <a:effectLst/>
              <a:sp3d/>
            </c:spPr>
          </c:dPt>
          <c:dPt>
            <c:idx val="3"/>
            <c:bubble3D val="0"/>
            <c:spPr>
              <a:solidFill>
                <a:srgbClr val="CC99FF"/>
              </a:solidFill>
              <a:ln w="25400">
                <a:noFill/>
              </a:ln>
              <a:effectLst/>
              <a:sp3d/>
            </c:spPr>
          </c:dPt>
          <c:dPt>
            <c:idx val="4"/>
            <c:bubble3D val="0"/>
            <c:spPr>
              <a:solidFill>
                <a:srgbClr val="FF6699"/>
              </a:solidFill>
              <a:ln w="25400">
                <a:noFill/>
              </a:ln>
              <a:effectLst/>
              <a:sp3d/>
            </c:spPr>
          </c:dPt>
          <c:dPt>
            <c:idx val="5"/>
            <c:bubble3D val="0"/>
            <c:spPr>
              <a:solidFill>
                <a:srgbClr val="FFCC66"/>
              </a:solidFill>
              <a:ln w="25400">
                <a:noFill/>
              </a:ln>
              <a:effectLst/>
              <a:sp3d/>
            </c:spPr>
          </c:dPt>
          <c:dPt>
            <c:idx val="6"/>
            <c:bubble3D val="0"/>
            <c:spPr>
              <a:solidFill>
                <a:srgbClr val="99FF99"/>
              </a:solidFill>
              <a:ln w="25400"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-0.15337441515462749"/>
                  <c:y val="-5.1599316339327551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35280"/>
                        <a:gd name="adj2" fmla="val 27027"/>
                      </a:avLst>
                    </a:prstGeom>
                  </c15:spPr>
                  <c15:layout>
                    <c:manualLayout>
                      <c:w val="0.23522918330860818"/>
                      <c:h val="0.11822291563399777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9.0610141123663897E-3"/>
                  <c:y val="-8.2559339525283798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35613"/>
                        <a:gd name="adj2" fmla="val 11112"/>
                      </a:avLst>
                    </a:prstGeom>
                  </c15:spPr>
                </c:ext>
              </c:extLst>
            </c:dLbl>
            <c:dLbl>
              <c:idx val="2"/>
              <c:layout>
                <c:manualLayout>
                  <c:x val="5.3073338658754611E-2"/>
                  <c:y val="-2.4079807361541108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29329"/>
                        <a:gd name="adj2" fmla="val 14220"/>
                      </a:avLst>
                    </a:prstGeom>
                  </c15:spPr>
                  <c15:layout>
                    <c:manualLayout>
                      <c:w val="0.16015843128304613"/>
                      <c:h val="0.18167659383134382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-0.14132374757503147"/>
                  <c:y val="-0.29159129876567286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21445"/>
                        <a:gd name="adj2" fmla="val 50295"/>
                      </a:avLst>
                    </a:prstGeom>
                  </c15:spPr>
                </c:ext>
              </c:extLst>
            </c:dLbl>
            <c:dLbl>
              <c:idx val="4"/>
              <c:layout>
                <c:manualLayout>
                  <c:x val="-1.4907375708471223E-2"/>
                  <c:y val="-4.1279669762641899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19164"/>
                        <a:gd name="adj2" fmla="val -22312"/>
                      </a:avLst>
                    </a:prstGeom>
                  </c15:spPr>
                </c:ext>
              </c:extLst>
            </c:dLbl>
            <c:dLbl>
              <c:idx val="5"/>
              <c:layout>
                <c:manualLayout>
                  <c:x val="0.16268115942028985"/>
                  <c:y val="7.3844832863384335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32705"/>
                        <a:gd name="adj2" fmla="val 5707"/>
                      </a:avLst>
                    </a:prstGeom>
                  </c15:spPr>
                </c:ext>
              </c:extLst>
            </c:dLbl>
            <c:dLbl>
              <c:idx val="6"/>
              <c:layout>
                <c:manualLayout>
                  <c:x val="-0.27605557457491725"/>
                  <c:y val="3.6499462335009968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20244"/>
                        <a:gd name="adj2" fmla="val 4988"/>
                      </a:avLst>
                    </a:prstGeom>
                  </c15:spPr>
                </c:ext>
              </c:extLst>
            </c:dLbl>
            <c:spPr>
              <a:solidFill>
                <a:sysClr val="window" lastClr="FFFFFF"/>
              </a:solidFill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</c:ext>
            </c:extLst>
          </c:dLbls>
          <c:cat>
            <c:strRef>
              <c:f>Лист1!$B$45:$B$51</c:f>
              <c:strCache>
                <c:ptCount val="7"/>
                <c:pt idx="0">
                  <c:v>Общегосударственные вопросы</c:v>
                </c:pt>
                <c:pt idx="1">
                  <c:v>Национальная экономика</c:v>
                </c:pt>
                <c:pt idx="2">
                  <c:v>Жилищно-коммунальное хозяйство</c:v>
                </c:pt>
                <c:pt idx="3">
                  <c:v>Образование и молодежная политика</c:v>
                </c:pt>
                <c:pt idx="4">
                  <c:v>Культура и кинематография</c:v>
                </c:pt>
                <c:pt idx="5">
                  <c:v>Социальная политика</c:v>
                </c:pt>
                <c:pt idx="6">
                  <c:v>Физическая культура и спорт</c:v>
                </c:pt>
              </c:strCache>
            </c:strRef>
          </c:cat>
          <c:val>
            <c:numRef>
              <c:f>Лист1!$C$45:$C$51</c:f>
              <c:numCache>
                <c:formatCode>#,##0.00</c:formatCode>
                <c:ptCount val="7"/>
                <c:pt idx="0">
                  <c:v>81760.97</c:v>
                </c:pt>
                <c:pt idx="1">
                  <c:v>60192.17</c:v>
                </c:pt>
                <c:pt idx="2">
                  <c:v>19241.07</c:v>
                </c:pt>
                <c:pt idx="3">
                  <c:v>568150.06000000006</c:v>
                </c:pt>
                <c:pt idx="4">
                  <c:v>20336.689999999999</c:v>
                </c:pt>
                <c:pt idx="5">
                  <c:v>261206.9</c:v>
                </c:pt>
                <c:pt idx="6">
                  <c:v>23014.49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0.02086</cdr:x>
      <cdr:y>0.4273</cdr:y>
    </cdr:from>
    <cdr:to>
      <cdr:x>0.1997</cdr:x>
      <cdr:y>0.69367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06680" y="146685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10</cp:revision>
  <dcterms:created xsi:type="dcterms:W3CDTF">2016-05-10T07:45:00Z</dcterms:created>
  <dcterms:modified xsi:type="dcterms:W3CDTF">2017-05-11T08:35:00Z</dcterms:modified>
</cp:coreProperties>
</file>